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III 9</w:t>
      </w:r>
    </w:p>
    <w:p>
      <w:r>
        <w:t>Bundesgericht (BGE), 1969-03-21, DE</w:t>
      </w:r>
    </w:p>
    <w:p>
      <w:r>
        <w:rPr>
          <w:b/>
        </w:rPr>
        <w:t xml:space="preserve">Quelle: </w:t>
      </w:r>
      <w:r>
        <w:t>https://mcp.opencaselaw.ch/entscheid/bge_95 III 9</w:t>
      </w:r>
    </w:p>
    <w:p>
      <w:r>
        <w:t>FR: ATF 95 III 9</w:t>
      </w:r>
    </w:p>
    <w:p>
      <w:r>
        <w:t>IT: DTF 95 III 9</w:t>
      </w:r>
    </w:p>
    <w:p>
      <w:pPr>
        <w:pStyle w:val="Heading2"/>
      </w:pPr>
      <w:r>
        <w:t>Regeste</w:t>
      </w:r>
    </w:p>
    <w:p>
      <w:r>
        <w:t>Regeste Konkurrenz der Lohnpfändung mit einer zuvor erfolgten Lohnabtretung. Das Betreibungsamt hat die vom Zessionar geltend gemachte Lohnabtretung auch dann zu berücksichtigen, wenn sie dem Arbeitgeber des Betriebenen erst seit der Lohnpfändung (während deren Dauer) angezeigt wurde, obwohl die durch sie zu sichernden Forderungen (hier: aus Abzahlungskauf) bereits vor der Lohnpfändung verfallen waren. Die Einwendung, der Zessionar habe durch sein langes Zuwarten auf die Geltendmachung der Abtretung verzichtet, oder die ihm aus der Abtretung erwachsenen Rechte seien nach Treu und Glauben verwirkt oder wegen gesetzlicher Befristung untergegangen, bleibt der gerichtlichen Beurteilung im Prätendentenstreit vorbehalten. Die vom Arbeitgeber vor der Anzeige der Abtretung in gutem Glauben dem Betriebenen oder auf dessen Rechnung dem Betreibungsamt entrichteten Lohnzahlungen bleiben dem Zugriff des Zessionars auf alle Fälle entzogen.</w:t>
      </w:r>
    </w:p>
    <w:p>
      <w:pPr>
        <w:pStyle w:val="Heading2"/>
      </w:pPr>
      <w:r>
        <w:t>Erwägungen</w:t>
      </w:r>
    </w:p>
    <w:p>
      <w:r>
        <w:rPr>
          <w:b/>
        </w:rPr>
        <w:t>E. 1</w:t>
      </w:r>
    </w:p>
    <w:p>
      <w:r>
        <w:t>Soweit nicht Gesetz, Vereinbarung oder Natur des Rechtsverhältnisses entgegenstehen, sind nach Art. 164 OR Forderungen jeder Art abtretbar, und zwar grundsätzlich auch solche, die erst in Zukunft entstehen werden, speziell auch Lohnforderungen, diese jedenfalls im Rahmen ihrer Pfändbarkeit im Sinne des Art. 93 SchKG (vgl. BGE 85 I 30 Erw. 13 lit. h). Die Abtretung einer zukünftigen Forderung wirkt sich dahin aus, dass diese in der Person des Zessionars entsteht und daher nicht mehr von einem Gläubiger des Zedenten gepfändet werden kann ( BGE 41 II 135 Erw. 3 und 4; VON TUHR, Der allg. Teil des schweiz. OR, § 94 Ziff. IV; OSER/SCHÖNENBERGER, Komm., zu Art. 164 N 4 ). Wird insbesondere einer Lohnpfändung eine bereits bestehende Abtretung zukünftiger Lohnguthaben des Betriebenen entgegengehalten, so kann die Pfändung nicht aufrecht erhalten bleiben, soweit die Lohnabtretung von den Beteiligten anerkannt wird. Im Falle der Bestreitung aber steht die Lohnpfändung unter dem Vorbehalt der gerichtlichen Beurteilung des auf die Lohnabtretung gestützten Drittanspruchs. Die neuere Rechtsprechung weist die Bereinigung dieser Ansprüche nicht mehr in das Widerspruchsverfahren. Vielmehr ist dem Drittschuldner (also dem Arbeitgeber des Betriebenen) die Möglichkeit der gerichtlichen Hinterlegung nach Art. 168 Abs. 1 OR zu eröffnen, und es sind die von einem Zessionar beanspruchten Lohnbeträge als bestrittene Forderungen zu pfänden und zu verwerten, sei es nach Art. 131 Abs. 2 SchKG oder durch Versteigerung. Die Gläubiger, denen die Forderung zur Eintreibung überwiesen wurde, oder der Ersteigerer erhalten BGE 95 III 9 S. 13 damit die Legitimation zur Austragung des Prätendentenstreites mit dem Zessionar (vgl. LEUCH, Die Bedeutung des betreibungsrechtlichen Widerspruchsverfahrens um Forderungen, ZBJV 76 S. 1 ff.; BGE 65 III 132 , BGE 66 II 43 , BGE 86 III 61 ff.).</w:t>
      </w:r>
    </w:p>
    <w:p>
      <w:r>
        <w:rPr>
          <w:b/>
        </w:rPr>
        <w:t>E. 2</w:t>
      </w:r>
    </w:p>
    <w:p>
      <w:r>
        <w:t>Nach der Praxis der Aufsichtsbehörde des Kantons Solothurn (BlSchK 1958 S. 105 ff.) ist dieses Vorgehen nicht am Platze, wenn eine Lohnabtretung dem Arbeitgeber des Betriebenen (und dem Betreibungsamte) erst während der Dauer einer für andere Gläubiger laufenden Lohnpfändung angezeigt wird und die durch die Lohnabtretung zu sichernden Forderungen ihrerseits schon vor der in Frage stehenden Lohnpfändung verfallen waren. In diesem Fall ist nach Ansicht der kantonalen Aufsichtsbehörde anzunehmen, der Zessionar habe auf die Geltendmachung der Lohnabtretung verzichtet; und zwar könne er gegenüber der für andere Gläubiger verfügten und im Gang befindlichen Lohnpfändung nicht auf diesen Entschluss zurückkommen. Der angefochtene Entscheid betont, die Annahme eines solchen Verzichtes stelle die Gültigkeit der Lohnabtretung selbst nicht in Frage, sondern schliesse nur deren Berücksichtigung bei der laufenden Lohnpfändung aus. Diese Betrachtungsweise erweckt Bedenken und ist in ihren Schlussfolgerungen nicht zu billigen. a) Von einem ausdrücklichen Verzicht der Rekurrentin auf Geltendmachung der nach ihrer Ansicht nicht nur für den Käufer O. Born, sondern auch für den Mitunterzeichner des Kaufvertrages, G. Haberthür, geltenden Lohnabtretung ist nicht die Rede. Die kantonale Aufsichtsbehörde leitet einen Verzicht lediglich als stillschweigenden aus dem Zuwarten der Rekurrentin mit einer Anzeige an die Drittschuldnerin bis zum 23. Januar 1969 ab. Ob aus dieser langen Untätigkeit der Rekurrentin in Verbindung mit den Vertragsbestimmungen und den äussern Umständen auf einen Verzichtswillen zu schliessen sei, ist indessen streitig. Durch die Anzeige vom 23. Januar 1969 an die Drittschuldnerin hat die Rekurrentin den gegenteiligen Willen bekundet, von der Lohnabtretung nun gegenüber Haberthür Gebrauch zu machen. Ob dieses Vorhaben an einem zuvor erfolgten unwiderruflichen Verzichte scheitern müsse, d.h. ob ein solcher Verzicht vorliege, ist eine Frage der Vertrags- und Willensauslegung, die der gerichtlichen Beurteilung vorbehalten bleiben muss. BGE 95 III 9 S. 14 b) Indem die Rekurrentin jahrelang trotz Säumigkeit des Käufers (und des allenfalls mitverpflichteten Mitunterzeichners Haberthür) von der Lohnabtretung keinen Gebrauch machte, liess sie sich freilich die den Gegenstand der Lohnabtretung bildenden Lohnbeträge von Monat zu Monat entgehen. Bis zu ihrem effektiven Zugriff durch die Anzeige vom 23. Januar 1969 an die Drittschuldnerin (die Arbeitgeberin Haberthürs) befreite sich diese jeweilen durch die in gutem Glauben an Haberthür - und vom 30. September 1968 an teilweise an das Betreibungsamt auf Rechnung der gegen Haberthür laufenden Betreibungen-geleisteten Lohnzahlungen in gültiger Weise ( Art. 167 OR ). Insbesondere auch die Lohnpfändung konnte sich bis zum 23. Januar 1969 voll auswirken. Die bis zu diesem Tage dem Betreibungsamte durch die Drittschuldnerin einbezahlten Lohnbeträge bleiben den pfändenden Gläubigern als Betreibungsergebnis gesichert und sind dem Zugriff der Rekurrentin entzogen. Denn, wie bereits entschieden wurde, fällt eine wiewohl vor der Pfändung erfolgte Lohnabtretung für das Betreibungsverfahren erst vom Zeitpunkt ihrer effektiven Geltendmachung durch Anzeige an den Drittschuldner in Betracht ( BGE 69 III 17 und 74; R. JOOS, Handbuch für die Betreibungsbeamten der Schweiz S. 152: "... erhält der Arbeitgeber Anzeige von der Lohnabtretung, dann ist sie vom Datum der Anzeige an wirksam, ... wenn die Abtretung selbst schon vor der Pfändung erfolgt ist"). Ob nun aber das Zuwarten der Rekurrentin mit der Anzeige an die Drittschuldnerin dahin auszulegen sei, dass sie einen effektiven Zugriff auf die Lohnforderungen Haberthürs überhaupt nicht mehr vornehmen könne, so dass die Anzeige vom 23. Januar 1969 rechtsunwirksam sei und somit die Lohnpfändung auch für die künftige Zeit nicht berühre, ist, wie bereits unter a) hievor ausgeführt, eine der richterlichen Beurteilung vorzubehaltende Frage des materiellen Rechtes. c) Der angefochtene Entscheid spricht übrigens nicht von einem Verzichtswillen. Anscheinend fasst er einen Verzicht im weitesten Sinn ins Auge, mit Einschluss einer vom Willen des Zessionars unabhängigen Verwirkung. In der Tat kann man sich fragen, ob es nicht gegen Treu und Glauben verstösst, eine während der vertraglichen Abzahlungsdauer nicht geltend gemachte Lohnabtretung dann erst einige Jahre später dem Drittschuldner anzuzeigen, um nun auf die künftigen Lohnforderungen zu greifen. Das ist jedoch ebenfalls ein materiellrechtliches BGE 95 III 9 S. 15 Problem, dessen Lösung den Betreibungsbehörden nicht zusteht. Gleich verhält es sich mit der Frage einer gesetzlichen Befristung der Lohnabtretung gemäss Art. 226 e OR . Nach Ansicht der Rekurrentin untersteht der vorliegende Kauf eines zu gewerblicher Verwendung bestimmten Automobils nach der Sondervorschrift des Art. 226 m Abs. 4 OR nicht jener Befristung der Lohnabtretung. Auch darüber haben die Betreibungsbehörden nicht zu befinden. Vielmehr ist die der Drittschuldnerin angezeigte Lohnabtretung gemäss der in Erw. 1 hievor erwähnten Rechtsprechung zu berücksichtigen. Sollte sie unbestritten bleiben, so wären die abgetretenen Lohnbeträge vom 23. Januar 1969 hinweg aus der Pfändung zu entlassen. Andernfalls hat es bei der Pfändung bestrittener Forderungen zu bleiben. Im Prätendentenstreit können natürlich alsdann auch andere als die im angefochtenen Entscheid erörterten Einwendungen erhoben werden. d) Die Geltendmachung der in Frage stehenden Lohnabtretung ist auch nicht etwa in betreibungsrechtlicher Hinsicht verspätet. Für die Anmeldung von Drittmannsrechten an gepfändeten Forderungen sind die Grundsätze der Art. 106 - 109 SchKG sinngemäss anwendbar. Nach diesen Vorschriften ist die Anmeldung als solche unbefristet; der Dritte, dem keine Frist gemäss Art. 107 Abs. 1 SchKG angesetzt wurde, kann nach Abs. 4 daselbst seinen Anspruch am Pfändungsgegenstand oder an dessen Erlös, solange dieser nicht verteilt ist, geltend machen. Von einer arglistigen Verzögerung der Anmeldung, welche allenfalls einen Grund der Verwirkung bilden würde (vgl. BGE 88 III 117 ff.), kann hier nicht gesprochen werden. Ein solcher Einwand ist gegenüber der Rekurrentin von vornherein abzulehnen, wenn sie erst kurz vor dem 23. Januar 1969 von der Lohnpfändung erfuhr. Aber auch wenn sie davon schon längere Zeit zuvor Kenntnis erhalten haben sollte, handelte sie nicht arglistig, indem sie einige Zeit der Überlegung verstreichen liess (etwa um zuerst ein Vorgehen gegen den Käufer Born in die Wege zu leiten). Das auf jeden Fall nicht übermässig lange Zuwarten ist um so weniger zu beanstanden, als es den pfändenden Gläubigern zugute kam. Denn solange die Rekurrentin die Lohnabtretung nicht der Drittschuldnerin anzeigte, gab sie, wie in Erw. 2 b hievor dargetan, die gepfändeten und dem Betreibungsamt überwiesenen Lohnbeträge schlechthin frei. BGE 95 III 9 S. 16 Dispositiv Demnach erkennt die Schuldbetreibungs- und Konkurskammer: Der Rekurs wird dahin gutgeheissen, dass der angefochtene Entscheid aufgehoben und das Betreibungsamt Dorneck angewiesen wird, die Lohnabtretung im Sinne der Erwägungen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